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E895" w14:textId="703C74C9" w:rsidR="00453235" w:rsidRPr="00B278BA" w:rsidRDefault="00453235" w:rsidP="0045323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278BA">
        <w:rPr>
          <w:rFonts w:ascii="Times New Roman" w:hAnsi="Times New Roman" w:cs="Times New Roman"/>
          <w:b/>
          <w:bCs/>
          <w:u w:val="single"/>
        </w:rPr>
        <w:t xml:space="preserve">PROCESSO ADMINISTRATIVO N.º </w:t>
      </w:r>
      <w:r w:rsidR="00B278BA" w:rsidRPr="00B278BA">
        <w:rPr>
          <w:rFonts w:ascii="Times New Roman" w:hAnsi="Times New Roman" w:cs="Times New Roman"/>
          <w:b/>
          <w:bCs/>
          <w:u w:val="single"/>
        </w:rPr>
        <w:t>11/2022</w:t>
      </w:r>
    </w:p>
    <w:p w14:paraId="777D5958" w14:textId="77777777" w:rsidR="00453235" w:rsidRPr="00565936" w:rsidRDefault="00453235" w:rsidP="0045323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278BA">
        <w:rPr>
          <w:rFonts w:ascii="Times New Roman" w:hAnsi="Times New Roman" w:cs="Times New Roman"/>
          <w:b/>
          <w:bCs/>
          <w:u w:val="single"/>
        </w:rPr>
        <w:t xml:space="preserve">TOMADA DE PREÇOS </w:t>
      </w:r>
      <w:proofErr w:type="spellStart"/>
      <w:r w:rsidRPr="00B278BA">
        <w:rPr>
          <w:rFonts w:ascii="Times New Roman" w:hAnsi="Times New Roman" w:cs="Times New Roman"/>
          <w:b/>
          <w:bCs/>
          <w:u w:val="single"/>
        </w:rPr>
        <w:t>N.°</w:t>
      </w:r>
      <w:proofErr w:type="spellEnd"/>
      <w:r w:rsidRPr="00B278BA">
        <w:rPr>
          <w:rFonts w:ascii="Times New Roman" w:hAnsi="Times New Roman" w:cs="Times New Roman"/>
          <w:b/>
          <w:bCs/>
          <w:u w:val="single"/>
        </w:rPr>
        <w:t xml:space="preserve"> 002/2022</w:t>
      </w:r>
    </w:p>
    <w:p w14:paraId="1ED96E2C" w14:textId="77777777" w:rsidR="00453235" w:rsidRPr="00565936" w:rsidRDefault="00453235" w:rsidP="0045323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664425D" w14:textId="77777777" w:rsidR="00453235" w:rsidRPr="00565936" w:rsidRDefault="00453235" w:rsidP="00453235">
      <w:pPr>
        <w:jc w:val="center"/>
        <w:rPr>
          <w:rFonts w:ascii="Times New Roman" w:hAnsi="Times New Roman" w:cs="Times New Roman"/>
          <w:bCs/>
        </w:rPr>
      </w:pPr>
      <w:r w:rsidRPr="00565936">
        <w:rPr>
          <w:rFonts w:ascii="Times New Roman" w:hAnsi="Times New Roman" w:cs="Times New Roman"/>
          <w:b/>
          <w:bCs/>
          <w:u w:val="single"/>
        </w:rPr>
        <w:t xml:space="preserve">PEDIDO DE </w:t>
      </w:r>
      <w:r w:rsidR="00556A0B" w:rsidRPr="00565936">
        <w:rPr>
          <w:rFonts w:ascii="Times New Roman" w:hAnsi="Times New Roman" w:cs="Times New Roman"/>
          <w:b/>
          <w:bCs/>
          <w:u w:val="single"/>
        </w:rPr>
        <w:t xml:space="preserve">IMPUGANAÇÃO </w:t>
      </w:r>
      <w:r w:rsidRPr="00565936">
        <w:rPr>
          <w:rFonts w:ascii="Times New Roman" w:hAnsi="Times New Roman" w:cs="Times New Roman"/>
          <w:b/>
          <w:bCs/>
          <w:u w:val="single"/>
        </w:rPr>
        <w:t>01</w:t>
      </w:r>
    </w:p>
    <w:p w14:paraId="1F529BFD" w14:textId="77777777" w:rsidR="00453235" w:rsidRPr="00565936" w:rsidRDefault="00453235" w:rsidP="00453235">
      <w:pPr>
        <w:rPr>
          <w:rFonts w:ascii="Times New Roman" w:hAnsi="Times New Roman" w:cs="Times New Roman"/>
          <w:bCs/>
        </w:rPr>
      </w:pPr>
    </w:p>
    <w:p w14:paraId="3F370736" w14:textId="77777777" w:rsidR="00453235" w:rsidRPr="00565936" w:rsidRDefault="00453235" w:rsidP="00453235">
      <w:pPr>
        <w:rPr>
          <w:rFonts w:ascii="Times New Roman" w:hAnsi="Times New Roman" w:cs="Times New Roman"/>
          <w:b/>
        </w:rPr>
      </w:pPr>
      <w:r w:rsidRPr="00565936">
        <w:rPr>
          <w:rFonts w:ascii="Times New Roman" w:hAnsi="Times New Roman" w:cs="Times New Roman"/>
          <w:bCs/>
        </w:rPr>
        <w:t xml:space="preserve">INTERESSADA: Prefeitura Municipal de </w:t>
      </w:r>
      <w:proofErr w:type="spellStart"/>
      <w:r w:rsidRPr="00565936">
        <w:rPr>
          <w:rFonts w:ascii="Times New Roman" w:hAnsi="Times New Roman" w:cs="Times New Roman"/>
          <w:bCs/>
        </w:rPr>
        <w:t>Anaurilândia</w:t>
      </w:r>
      <w:proofErr w:type="spellEnd"/>
      <w:r w:rsidRPr="00565936">
        <w:rPr>
          <w:rFonts w:ascii="Times New Roman" w:hAnsi="Times New Roman" w:cs="Times New Roman"/>
          <w:bCs/>
        </w:rPr>
        <w:t xml:space="preserve"> – MS e empresa </w:t>
      </w:r>
      <w:r w:rsidRPr="00565936">
        <w:rPr>
          <w:rFonts w:ascii="Times New Roman" w:hAnsi="Times New Roman" w:cs="Times New Roman"/>
          <w:b/>
        </w:rPr>
        <w:t>SILVA &amp; AZAMBUJA LTDA.</w:t>
      </w:r>
    </w:p>
    <w:p w14:paraId="3D1C7557" w14:textId="77777777" w:rsidR="00453235" w:rsidRPr="00565936" w:rsidRDefault="00453235" w:rsidP="00453235">
      <w:pPr>
        <w:rPr>
          <w:rFonts w:ascii="Times New Roman" w:hAnsi="Times New Roman" w:cs="Times New Roman"/>
          <w:b/>
        </w:rPr>
      </w:pPr>
      <w:r w:rsidRPr="00565936">
        <w:rPr>
          <w:rFonts w:ascii="Times New Roman" w:hAnsi="Times New Roman" w:cs="Times New Roman"/>
          <w:bCs/>
        </w:rPr>
        <w:t xml:space="preserve">ASSUNTO: </w:t>
      </w:r>
      <w:r w:rsidRPr="00565936">
        <w:rPr>
          <w:rFonts w:ascii="Times New Roman" w:hAnsi="Times New Roman" w:cs="Times New Roman"/>
          <w:b/>
          <w:bCs/>
        </w:rPr>
        <w:t xml:space="preserve">PEDIDO DE </w:t>
      </w:r>
      <w:r w:rsidR="00556A0B" w:rsidRPr="00565936">
        <w:rPr>
          <w:rFonts w:ascii="Times New Roman" w:hAnsi="Times New Roman" w:cs="Times New Roman"/>
          <w:b/>
          <w:bCs/>
        </w:rPr>
        <w:t xml:space="preserve">IMPUGNAÇÃO </w:t>
      </w:r>
      <w:r w:rsidRPr="00565936">
        <w:rPr>
          <w:rFonts w:ascii="Times New Roman" w:hAnsi="Times New Roman" w:cs="Times New Roman"/>
          <w:b/>
          <w:bCs/>
        </w:rPr>
        <w:t xml:space="preserve">- PROCEDIMENTO LICITATÓRIO TOMADA DE PREÇOS </w:t>
      </w:r>
      <w:proofErr w:type="spellStart"/>
      <w:r w:rsidRPr="00565936">
        <w:rPr>
          <w:rFonts w:ascii="Times New Roman" w:hAnsi="Times New Roman" w:cs="Times New Roman"/>
          <w:b/>
          <w:bCs/>
        </w:rPr>
        <w:t>N.°</w:t>
      </w:r>
      <w:proofErr w:type="spellEnd"/>
      <w:r w:rsidRPr="00565936">
        <w:rPr>
          <w:rFonts w:ascii="Times New Roman" w:hAnsi="Times New Roman" w:cs="Times New Roman"/>
          <w:b/>
          <w:bCs/>
        </w:rPr>
        <w:t xml:space="preserve"> 002/2022 – ANAURILÂNDIA/MS – CADASTRO CONCESSIONÁRIA ENERGIA ELÉTRICA – EXIGÊNCIA DE QUALIFICAÇÃO TÉCNICA IMCOMPATÍVEL - ILEGALIDADE.  </w:t>
      </w:r>
    </w:p>
    <w:p w14:paraId="07CE5277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113E5A21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5936">
        <w:rPr>
          <w:color w:val="000000"/>
        </w:rPr>
        <w:t xml:space="preserve">Trata-se de impugnação apresentada pela empresa </w:t>
      </w:r>
      <w:r w:rsidRPr="00565936">
        <w:rPr>
          <w:b/>
        </w:rPr>
        <w:t>SILVA &amp; AZAMBUJA LTDA.</w:t>
      </w:r>
      <w:r w:rsidRPr="00565936">
        <w:rPr>
          <w:color w:val="000000"/>
        </w:rPr>
        <w:t>,</w:t>
      </w:r>
      <w:r w:rsidRPr="00565936">
        <w:rPr>
          <w:rFonts w:eastAsiaTheme="minorHAnsi"/>
          <w:lang w:eastAsia="en-US"/>
        </w:rPr>
        <w:t xml:space="preserve"> CNPJ </w:t>
      </w:r>
      <w:proofErr w:type="spellStart"/>
      <w:r w:rsidRPr="00565936">
        <w:rPr>
          <w:rFonts w:eastAsiaTheme="minorHAnsi"/>
          <w:lang w:eastAsia="en-US"/>
        </w:rPr>
        <w:t>n.°</w:t>
      </w:r>
      <w:proofErr w:type="spellEnd"/>
      <w:r w:rsidRPr="00565936">
        <w:rPr>
          <w:rFonts w:eastAsiaTheme="minorHAnsi"/>
          <w:lang w:eastAsia="en-US"/>
        </w:rPr>
        <w:t xml:space="preserve"> 03.285.860/0001-07</w:t>
      </w:r>
      <w:r w:rsidRPr="00565936">
        <w:rPr>
          <w:color w:val="000000"/>
        </w:rPr>
        <w:t xml:space="preserve">, interessada em participar da Tomada de Preços </w:t>
      </w:r>
      <w:proofErr w:type="spellStart"/>
      <w:r w:rsidRPr="00565936">
        <w:rPr>
          <w:color w:val="000000"/>
        </w:rPr>
        <w:t>n.°</w:t>
      </w:r>
      <w:proofErr w:type="spellEnd"/>
      <w:r w:rsidRPr="00565936">
        <w:rPr>
          <w:color w:val="000000"/>
        </w:rPr>
        <w:t xml:space="preserve"> 002/2022, que tem por objeto a </w:t>
      </w:r>
      <w:r w:rsidRPr="00565936">
        <w:rPr>
          <w:bCs/>
          <w:color w:val="000000"/>
        </w:rPr>
        <w:t>Contratação de empresa especializada para realizar a execução do</w:t>
      </w:r>
      <w:r w:rsidRPr="00565936">
        <w:rPr>
          <w:bCs/>
          <w:color w:val="000000"/>
        </w:rPr>
        <w:br/>
        <w:t xml:space="preserve">projeto de Rede Elétrica do Parque Industrial do Município de </w:t>
      </w:r>
      <w:proofErr w:type="spellStart"/>
      <w:r w:rsidRPr="00565936">
        <w:rPr>
          <w:bCs/>
          <w:color w:val="000000"/>
        </w:rPr>
        <w:t>Anaurilândia</w:t>
      </w:r>
      <w:proofErr w:type="spellEnd"/>
      <w:r w:rsidRPr="00565936">
        <w:rPr>
          <w:bCs/>
          <w:color w:val="000000"/>
        </w:rPr>
        <w:br/>
        <w:t>- MS</w:t>
      </w:r>
      <w:r w:rsidRPr="00565936">
        <w:rPr>
          <w:color w:val="000000"/>
        </w:rPr>
        <w:t>.</w:t>
      </w:r>
    </w:p>
    <w:p w14:paraId="20144EA0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5936">
        <w:rPr>
          <w:color w:val="000000"/>
        </w:rPr>
        <w:t xml:space="preserve">A impugnação diz respeito especificamente quanto a </w:t>
      </w:r>
      <w:r w:rsidR="00556A0B" w:rsidRPr="00565936">
        <w:rPr>
          <w:color w:val="000000"/>
        </w:rPr>
        <w:t>não exigência de credenciamento da futura contratada junto a Concessionária de Energia Elétrica e qualificação técnica incompatível com o objeto licitado</w:t>
      </w:r>
      <w:r w:rsidRPr="00565936">
        <w:rPr>
          <w:color w:val="000000"/>
        </w:rPr>
        <w:t>.</w:t>
      </w:r>
    </w:p>
    <w:p w14:paraId="4619112A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5936">
        <w:rPr>
          <w:color w:val="000000"/>
        </w:rPr>
        <w:t>É o necessário relatório.</w:t>
      </w:r>
    </w:p>
    <w:p w14:paraId="4AB44535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00CFF101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565936">
        <w:rPr>
          <w:b/>
          <w:color w:val="000000"/>
          <w:u w:val="single"/>
        </w:rPr>
        <w:t xml:space="preserve">DA TEMPESTIVIDADE </w:t>
      </w:r>
    </w:p>
    <w:p w14:paraId="445D524F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5936">
        <w:rPr>
          <w:color w:val="000000"/>
        </w:rPr>
        <w:t>A impugnação foi apresentada tempestivamente, observando o art. 41</w:t>
      </w:r>
      <w:r w:rsidR="00556A0B" w:rsidRPr="00565936">
        <w:rPr>
          <w:color w:val="000000"/>
        </w:rPr>
        <w:t>, § 1º</w:t>
      </w:r>
      <w:r w:rsidRPr="00565936">
        <w:rPr>
          <w:color w:val="000000"/>
        </w:rPr>
        <w:t xml:space="preserve"> da Lei Federal </w:t>
      </w:r>
      <w:proofErr w:type="spellStart"/>
      <w:r w:rsidRPr="00565936">
        <w:rPr>
          <w:color w:val="000000"/>
        </w:rPr>
        <w:t>n.°</w:t>
      </w:r>
      <w:proofErr w:type="spellEnd"/>
      <w:r w:rsidRPr="00565936">
        <w:rPr>
          <w:color w:val="000000"/>
        </w:rPr>
        <w:t xml:space="preserve"> 8.666/1993.</w:t>
      </w:r>
    </w:p>
    <w:p w14:paraId="4B2B7B37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jc w:val="both"/>
        <w:rPr>
          <w:color w:val="000000"/>
        </w:rPr>
      </w:pPr>
      <w:r w:rsidRPr="00565936">
        <w:rPr>
          <w:color w:val="000000"/>
        </w:rPr>
        <w:t xml:space="preserve"> </w:t>
      </w:r>
    </w:p>
    <w:p w14:paraId="5E22BC1A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565936">
        <w:rPr>
          <w:b/>
          <w:color w:val="000000"/>
          <w:u w:val="single"/>
        </w:rPr>
        <w:t xml:space="preserve">DO MÉRITO </w:t>
      </w:r>
    </w:p>
    <w:p w14:paraId="75972A74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5936">
        <w:rPr>
          <w:color w:val="000000"/>
        </w:rPr>
        <w:t xml:space="preserve">O objetivo da licitação está bem definido no art. 3º da Lei Federal </w:t>
      </w:r>
      <w:proofErr w:type="spellStart"/>
      <w:r w:rsidRPr="00565936">
        <w:rPr>
          <w:color w:val="000000"/>
        </w:rPr>
        <w:t>n.°</w:t>
      </w:r>
      <w:proofErr w:type="spellEnd"/>
      <w:r w:rsidRPr="00565936">
        <w:rPr>
          <w:color w:val="000000"/>
        </w:rPr>
        <w:t xml:space="preserve"> 8.666/1993, vejamos:</w:t>
      </w:r>
    </w:p>
    <w:p w14:paraId="43448B64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left="1701"/>
        <w:jc w:val="both"/>
        <w:rPr>
          <w:color w:val="000000"/>
          <w:sz w:val="20"/>
        </w:rPr>
      </w:pPr>
      <w:r w:rsidRPr="00565936">
        <w:rPr>
          <w:b/>
          <w:color w:val="000000"/>
          <w:sz w:val="20"/>
          <w:u w:val="single"/>
        </w:rPr>
        <w:t xml:space="preserve">A licitação destina-se a garantir a observância do princípio constitucional da isonomia, a seleção da proposta mais vantajosa para a administração e a promoção do desenvolvimento nacional sustentável e será processada e julgada em estrita </w:t>
      </w:r>
      <w:r w:rsidRPr="00565936">
        <w:rPr>
          <w:b/>
          <w:color w:val="000000"/>
          <w:sz w:val="20"/>
          <w:u w:val="single"/>
        </w:rPr>
        <w:lastRenderedPageBreak/>
        <w:t>conformidade com os princípios básicos da legalidade, da impessoalidade, da moralidade, da igualdade, da publicidade, da probidade administrativa, da vinculação ao instrumento convocatório, do julgamento objetivo e dos que lhes são correlatos</w:t>
      </w:r>
      <w:r w:rsidRPr="00565936">
        <w:rPr>
          <w:color w:val="000000"/>
          <w:sz w:val="20"/>
        </w:rPr>
        <w:t>. (</w:t>
      </w:r>
      <w:r w:rsidRPr="00565936">
        <w:rPr>
          <w:b/>
          <w:color w:val="000000"/>
          <w:sz w:val="20"/>
        </w:rPr>
        <w:t>DESTAQUE NOSSO</w:t>
      </w:r>
      <w:r w:rsidRPr="00565936">
        <w:rPr>
          <w:color w:val="000000"/>
          <w:sz w:val="20"/>
        </w:rPr>
        <w:t>)</w:t>
      </w:r>
    </w:p>
    <w:p w14:paraId="37A460DB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3824901E" w14:textId="77777777" w:rsidR="00D87C9E" w:rsidRPr="00565936" w:rsidRDefault="00852783" w:rsidP="00E824BE">
      <w:pPr>
        <w:pStyle w:val="tex3"/>
        <w:spacing w:before="0" w:beforeAutospacing="0" w:after="0" w:afterAutospacing="0" w:line="360" w:lineRule="auto"/>
        <w:ind w:firstLine="708"/>
        <w:jc w:val="both"/>
      </w:pPr>
      <w:r w:rsidRPr="00565936">
        <w:rPr>
          <w:color w:val="000000"/>
        </w:rPr>
        <w:t xml:space="preserve">1. </w:t>
      </w:r>
      <w:r w:rsidR="00E824BE" w:rsidRPr="00565936">
        <w:rPr>
          <w:color w:val="000000"/>
        </w:rPr>
        <w:t xml:space="preserve">Em relação </w:t>
      </w:r>
      <w:r w:rsidR="00D87C9E" w:rsidRPr="00565936">
        <w:rPr>
          <w:color w:val="000000"/>
        </w:rPr>
        <w:t xml:space="preserve">à alegação da </w:t>
      </w:r>
      <w:r w:rsidR="00E824BE" w:rsidRPr="00565936">
        <w:rPr>
          <w:color w:val="000000"/>
        </w:rPr>
        <w:t xml:space="preserve">empresa </w:t>
      </w:r>
      <w:r w:rsidR="00E824BE" w:rsidRPr="00565936">
        <w:rPr>
          <w:b/>
        </w:rPr>
        <w:t>SILVA &amp; AZAMBUJA LTDA</w:t>
      </w:r>
      <w:r w:rsidR="00E824BE" w:rsidRPr="00565936">
        <w:t xml:space="preserve">., </w:t>
      </w:r>
      <w:r w:rsidR="00D87C9E" w:rsidRPr="00565936">
        <w:rPr>
          <w:b/>
          <w:u w:val="single"/>
        </w:rPr>
        <w:t>quanto a necessidade de credencia da licitante junto a concessionário de energia elétrica que atende ao Município</w:t>
      </w:r>
      <w:r w:rsidR="00D87C9E" w:rsidRPr="00565936">
        <w:t>, após consulta ao setor demandante quando a exigência, temos que assi</w:t>
      </w:r>
      <w:r w:rsidR="006D6380" w:rsidRPr="00565936">
        <w:t>s</w:t>
      </w:r>
      <w:r w:rsidR="00D87C9E" w:rsidRPr="00565936">
        <w:t>te razão parcial à Impugnante.</w:t>
      </w:r>
    </w:p>
    <w:p w14:paraId="6DB9B194" w14:textId="77777777" w:rsidR="00A922F0" w:rsidRPr="00565936" w:rsidRDefault="006D6380" w:rsidP="00453235">
      <w:pPr>
        <w:pStyle w:val="tex3"/>
        <w:spacing w:before="0" w:beforeAutospacing="0" w:after="0" w:afterAutospacing="0" w:line="360" w:lineRule="auto"/>
        <w:ind w:firstLine="708"/>
        <w:jc w:val="both"/>
      </w:pPr>
      <w:r w:rsidRPr="00565936">
        <w:t xml:space="preserve">Fundamentamos nossa decisão em julgado do Tribunal de Conta do Estado de Minas Gerais – TCE/MG Agravo n.1024294. Rel. Cons. </w:t>
      </w:r>
      <w:proofErr w:type="spellStart"/>
      <w:r w:rsidRPr="00565936">
        <w:t>Adriene</w:t>
      </w:r>
      <w:proofErr w:type="spellEnd"/>
      <w:r w:rsidRPr="00565936">
        <w:t xml:space="preserve"> Andrade. 13/12/2017.</w:t>
      </w:r>
    </w:p>
    <w:p w14:paraId="07DE5D13" w14:textId="77777777" w:rsidR="00D87C9E" w:rsidRPr="00565936" w:rsidRDefault="00D87C9E" w:rsidP="006D6380">
      <w:pPr>
        <w:pStyle w:val="tex3"/>
        <w:ind w:left="2835"/>
        <w:jc w:val="both"/>
        <w:rPr>
          <w:sz w:val="20"/>
        </w:rPr>
      </w:pPr>
      <w:r w:rsidRPr="00565936">
        <w:rPr>
          <w:sz w:val="20"/>
        </w:rPr>
        <w:t xml:space="preserve">Nesse contexto, esclareço que não foi objeto de questionamento na decisão agravada o fato de que o CIMAMS somente poderá celebrar contrato com empresa inscrita no cadastro de fornecedores da Cemig, </w:t>
      </w:r>
      <w:r w:rsidRPr="00565936">
        <w:rPr>
          <w:b/>
          <w:sz w:val="20"/>
          <w:u w:val="single"/>
        </w:rPr>
        <w:t>uma vez que os serviços a serem executados (expansão de rede e</w:t>
      </w:r>
      <w:r w:rsidR="006D6380" w:rsidRPr="00565936">
        <w:rPr>
          <w:b/>
          <w:sz w:val="20"/>
          <w:u w:val="single"/>
        </w:rPr>
        <w:t xml:space="preserve"> </w:t>
      </w:r>
      <w:r w:rsidRPr="00565936">
        <w:rPr>
          <w:b/>
          <w:sz w:val="20"/>
          <w:u w:val="single"/>
        </w:rPr>
        <w:t>fornecimento e instalação de novos pontos de iluminação) impactarão no sistema elétrico de distribuição daquela entidade</w:t>
      </w:r>
      <w:r w:rsidRPr="00565936">
        <w:rPr>
          <w:sz w:val="20"/>
        </w:rPr>
        <w:t>. Na realidade, o objeto de questionamento na decisão agravada,</w:t>
      </w:r>
      <w:r w:rsidR="006D6380" w:rsidRPr="00565936">
        <w:rPr>
          <w:sz w:val="20"/>
        </w:rPr>
        <w:t xml:space="preserve"> </w:t>
      </w:r>
      <w:r w:rsidRPr="00565936">
        <w:rPr>
          <w:sz w:val="20"/>
        </w:rPr>
        <w:t>que ensejou a suspensão cautelar da licitação, foi o momento em que o CIMAMS exigiu a</w:t>
      </w:r>
      <w:r w:rsidR="006D6380" w:rsidRPr="00565936">
        <w:rPr>
          <w:sz w:val="20"/>
        </w:rPr>
        <w:t xml:space="preserve"> </w:t>
      </w:r>
      <w:r w:rsidRPr="00565936">
        <w:rPr>
          <w:sz w:val="20"/>
        </w:rPr>
        <w:t>apresentação do certificado, a saber, fase de habilitação.</w:t>
      </w:r>
    </w:p>
    <w:p w14:paraId="78A5615D" w14:textId="77777777" w:rsidR="00D87C9E" w:rsidRPr="00565936" w:rsidRDefault="00D87C9E" w:rsidP="006D6380">
      <w:pPr>
        <w:pStyle w:val="tex3"/>
        <w:ind w:left="2835"/>
        <w:jc w:val="both"/>
        <w:rPr>
          <w:b/>
          <w:sz w:val="20"/>
          <w:u w:val="single"/>
        </w:rPr>
      </w:pPr>
      <w:r w:rsidRPr="00565936">
        <w:rPr>
          <w:sz w:val="20"/>
        </w:rPr>
        <w:t xml:space="preserve">Dando continuidade ao raciocínio acima desenvolvido, entendo, </w:t>
      </w:r>
      <w:r w:rsidRPr="00565936">
        <w:rPr>
          <w:b/>
          <w:sz w:val="20"/>
          <w:u w:val="single"/>
        </w:rPr>
        <w:t>a princípio, com fundamento no art. 32, § 3º, da Lei nº 8.666/1993 e no art. 4º, XIV, da Lei nº 10.520/2002, que o registro cadastral na Cemig somente pode ser exigido no ato de assinatura do contrato. Além dessa sistemática estar de acordo com as disposições da Lei nº 8.666/1993 e da Lei nº 10.520/2002,</w:t>
      </w:r>
      <w:r w:rsidR="006D6380" w:rsidRPr="00565936">
        <w:rPr>
          <w:b/>
          <w:sz w:val="20"/>
          <w:u w:val="single"/>
        </w:rPr>
        <w:t xml:space="preserve"> </w:t>
      </w:r>
      <w:r w:rsidRPr="00565936">
        <w:rPr>
          <w:b/>
          <w:sz w:val="20"/>
          <w:u w:val="single"/>
        </w:rPr>
        <w:t>preserva a competitividade do certame e evita o direcionamento do seu resultado àquelas empresas já inscritas no cadastro quando da realização da sessão de abertura dos envelopes.</w:t>
      </w:r>
    </w:p>
    <w:p w14:paraId="7B952737" w14:textId="77777777" w:rsidR="006F575C" w:rsidRPr="00565936" w:rsidRDefault="006F575C" w:rsidP="00453235">
      <w:pPr>
        <w:pStyle w:val="tex3"/>
        <w:spacing w:before="0" w:beforeAutospacing="0" w:after="0" w:afterAutospacing="0" w:line="360" w:lineRule="auto"/>
        <w:ind w:firstLine="708"/>
        <w:jc w:val="both"/>
      </w:pPr>
    </w:p>
    <w:p w14:paraId="240E61B1" w14:textId="77777777" w:rsidR="00A922F0" w:rsidRPr="00565936" w:rsidRDefault="006D6380" w:rsidP="00453235">
      <w:pPr>
        <w:pStyle w:val="tex3"/>
        <w:spacing w:before="0" w:beforeAutospacing="0" w:after="0" w:afterAutospacing="0" w:line="360" w:lineRule="auto"/>
        <w:ind w:firstLine="708"/>
        <w:jc w:val="both"/>
      </w:pPr>
      <w:r w:rsidRPr="00565936">
        <w:t xml:space="preserve">De acordo com informação disponível no site oficial da </w:t>
      </w:r>
      <w:r w:rsidR="006F575C" w:rsidRPr="00565936">
        <w:t xml:space="preserve">NEOENERGIA ELEKTRO </w:t>
      </w:r>
      <w:r w:rsidRPr="00565936">
        <w:t xml:space="preserve">concessionária de energia elétrica que atende ao Município de </w:t>
      </w:r>
      <w:proofErr w:type="spellStart"/>
      <w:r w:rsidRPr="00565936">
        <w:t>Anaurilândia</w:t>
      </w:r>
      <w:proofErr w:type="spellEnd"/>
      <w:r w:rsidR="006F575C" w:rsidRPr="00565936">
        <w:t xml:space="preserve">, devem passar pelo credenciamento empresas interessadas na prestação de serviços que tenham interferência no SEP (Sistema Elétrico de Potência) da </w:t>
      </w:r>
      <w:proofErr w:type="spellStart"/>
      <w:r w:rsidR="006F575C" w:rsidRPr="00565936">
        <w:t>Neoenergia</w:t>
      </w:r>
      <w:proofErr w:type="spellEnd"/>
      <w:r w:rsidR="006F575C" w:rsidRPr="00565936">
        <w:t xml:space="preserve"> Elektro</w:t>
      </w:r>
      <w:r w:rsidR="006F575C" w:rsidRPr="00565936">
        <w:rPr>
          <w:rStyle w:val="Refdenotaderodap"/>
        </w:rPr>
        <w:footnoteReference w:id="1"/>
      </w:r>
      <w:r w:rsidR="006F575C" w:rsidRPr="00565936">
        <w:t>.</w:t>
      </w:r>
    </w:p>
    <w:p w14:paraId="56C68EC1" w14:textId="77777777" w:rsidR="006F575C" w:rsidRPr="00565936" w:rsidRDefault="006F575C" w:rsidP="00453235">
      <w:pPr>
        <w:pStyle w:val="tex3"/>
        <w:spacing w:before="0" w:beforeAutospacing="0" w:after="0" w:afterAutospacing="0" w:line="360" w:lineRule="auto"/>
        <w:ind w:firstLine="708"/>
        <w:jc w:val="both"/>
      </w:pPr>
      <w:r w:rsidRPr="00565936">
        <w:t>Assim, para resguardar a Administração e a coletividade dos munícipes</w:t>
      </w:r>
      <w:r w:rsidR="000925C1" w:rsidRPr="00565936">
        <w:t xml:space="preserve"> garantindo a melhor contratação e destinação dos recursos públicos</w:t>
      </w:r>
      <w:r w:rsidRPr="00565936">
        <w:t xml:space="preserve">, e com vistas a evitar </w:t>
      </w:r>
      <w:r w:rsidR="000925C1" w:rsidRPr="00565936">
        <w:t xml:space="preserve">prejuízos que </w:t>
      </w:r>
      <w:r w:rsidR="000925C1" w:rsidRPr="00565936">
        <w:lastRenderedPageBreak/>
        <w:t xml:space="preserve">possam acarretar na interrupção no fornecimento de energia ao Município de </w:t>
      </w:r>
      <w:proofErr w:type="spellStart"/>
      <w:r w:rsidR="000925C1" w:rsidRPr="00565936">
        <w:t>Anaurilândia</w:t>
      </w:r>
      <w:proofErr w:type="spellEnd"/>
      <w:r w:rsidR="000925C1" w:rsidRPr="00565936">
        <w:t>, e visto tratar-se de expansão da rede, que irão impactar o sistema elétrico de distribuição, entendemos que o credenciamento pode ser exigido, contudo, em respeito aos artigos 28 a 32, e para ampla disputa, tal condição somente deverá ser exigida na assinatura do contrato.</w:t>
      </w:r>
      <w:r w:rsidRPr="00565936">
        <w:t xml:space="preserve"> </w:t>
      </w:r>
    </w:p>
    <w:p w14:paraId="1A5F5895" w14:textId="77777777" w:rsidR="006F575C" w:rsidRPr="00565936" w:rsidRDefault="006F575C" w:rsidP="006F575C">
      <w:pPr>
        <w:pStyle w:val="tex3"/>
        <w:spacing w:before="0" w:beforeAutospacing="0" w:after="0" w:afterAutospacing="0" w:line="360" w:lineRule="auto"/>
        <w:jc w:val="both"/>
      </w:pPr>
      <w:r w:rsidRPr="00565936">
        <w:rPr>
          <w:noProof/>
        </w:rPr>
        <w:drawing>
          <wp:inline distT="0" distB="0" distL="0" distR="0" wp14:anchorId="40117598" wp14:editId="5989A883">
            <wp:extent cx="3785907" cy="6953250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987" cy="69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1722" w14:textId="77777777" w:rsidR="00566A57" w:rsidRPr="00565936" w:rsidRDefault="00852783" w:rsidP="002620C3">
      <w:pPr>
        <w:pStyle w:val="tex3"/>
        <w:spacing w:before="0" w:beforeAutospacing="0" w:after="0" w:afterAutospacing="0" w:line="360" w:lineRule="auto"/>
        <w:ind w:firstLine="1701"/>
        <w:jc w:val="both"/>
      </w:pPr>
      <w:r w:rsidRPr="00565936">
        <w:rPr>
          <w:color w:val="000000"/>
        </w:rPr>
        <w:lastRenderedPageBreak/>
        <w:t xml:space="preserve">2. </w:t>
      </w:r>
      <w:r w:rsidR="00E824BE" w:rsidRPr="00565936">
        <w:rPr>
          <w:color w:val="000000"/>
        </w:rPr>
        <w:t xml:space="preserve">Em relação ao descontentamento da empresa </w:t>
      </w:r>
      <w:r w:rsidR="00E824BE" w:rsidRPr="00565936">
        <w:rPr>
          <w:b/>
        </w:rPr>
        <w:t>SILVA &amp; AZAMBUJA LTDA</w:t>
      </w:r>
      <w:r w:rsidR="00E824BE" w:rsidRPr="00565936">
        <w:t xml:space="preserve">., </w:t>
      </w:r>
      <w:r w:rsidR="00566A57" w:rsidRPr="00565936">
        <w:t xml:space="preserve">sobre a possibilidade de comprovação de capacidade técnica através de profissional de arquitetura e urbanismo ou empresa inscritos no Conselho de Arquitetura e Urbanismo – CAU, assiste razão à recorrente, </w:t>
      </w:r>
      <w:r w:rsidR="002620C3" w:rsidRPr="00565936">
        <w:t xml:space="preserve">uma vez que nos termos da Resolução </w:t>
      </w:r>
      <w:proofErr w:type="spellStart"/>
      <w:r w:rsidR="002620C3" w:rsidRPr="00565936">
        <w:t>n.°</w:t>
      </w:r>
      <w:proofErr w:type="spellEnd"/>
      <w:r w:rsidR="002620C3" w:rsidRPr="00565936">
        <w:t xml:space="preserve"> 21/20212, que dispõe sobre as atividade e atribuições do arquiteto urbanista, </w:t>
      </w:r>
      <w:r w:rsidR="00EF2A5C" w:rsidRPr="00565936">
        <w:t xml:space="preserve">este profissional somente poderia ser responsável técnico para execução de instalações elétricas prediais de baixa tensão, </w:t>
      </w:r>
      <w:r w:rsidR="00566A57" w:rsidRPr="00565936">
        <w:t>veja:</w:t>
      </w:r>
    </w:p>
    <w:p w14:paraId="6E42465F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b/>
          <w:bCs/>
          <w:sz w:val="20"/>
        </w:rPr>
        <w:t>2.5.   INSTALAÇÕES E EQUIPAMENTOS REFERENTES À ARQUITETURA</w:t>
      </w:r>
    </w:p>
    <w:p w14:paraId="7F928E3D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</w:rPr>
        <w:t xml:space="preserve">2.5.1. Execução de instalações </w:t>
      </w:r>
      <w:proofErr w:type="spellStart"/>
      <w:r w:rsidRPr="00565936">
        <w:rPr>
          <w:sz w:val="20"/>
        </w:rPr>
        <w:t>hidrossanitárias</w:t>
      </w:r>
      <w:proofErr w:type="spellEnd"/>
      <w:r w:rsidRPr="00565936">
        <w:rPr>
          <w:sz w:val="20"/>
        </w:rPr>
        <w:t xml:space="preserve"> prediais;</w:t>
      </w:r>
    </w:p>
    <w:p w14:paraId="3467B15F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</w:rPr>
        <w:t>2.5.2. Execução de instalações prediais de águas pluviais;</w:t>
      </w:r>
    </w:p>
    <w:p w14:paraId="090C630E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</w:rPr>
        <w:t>2.5.3. Execução de instalações prediais de gás canalizado;</w:t>
      </w:r>
    </w:p>
    <w:p w14:paraId="3B40C5E3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</w:rPr>
        <w:t>2.5.4. Execução de instalações prediais de gases medicinais;</w:t>
      </w:r>
    </w:p>
    <w:p w14:paraId="3EF458FA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</w:rPr>
        <w:t>2.5.5. Execução de instalações prediais de prevenção e combate a incêndio;</w:t>
      </w:r>
    </w:p>
    <w:p w14:paraId="3F063B8C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</w:rPr>
        <w:t>2.5.6. Execução de sistemas prediais de proteção contra incêndios e catástrofes;</w:t>
      </w:r>
    </w:p>
    <w:p w14:paraId="6D2743B2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  <w:highlight w:val="yellow"/>
        </w:rPr>
        <w:t>2.5.7. Execução de instalações elétricas prediais de baixa tensão;</w:t>
      </w:r>
    </w:p>
    <w:p w14:paraId="165CFBB4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</w:rPr>
        <w:t>2.5.8. Execução de instalações telefônicas prediais;</w:t>
      </w:r>
    </w:p>
    <w:p w14:paraId="0830DB92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</w:rPr>
        <w:t>2.5.9. Execução de instalações prediais de TV;</w:t>
      </w:r>
    </w:p>
    <w:p w14:paraId="556425D6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</w:rPr>
        <w:t>2.5.10. Execução de comunicação visual para edificações;</w:t>
      </w:r>
    </w:p>
    <w:p w14:paraId="7E0C6C9D" w14:textId="77777777" w:rsidR="00566A57" w:rsidRPr="00565936" w:rsidRDefault="00566A57" w:rsidP="002620C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</w:rPr>
      </w:pPr>
      <w:r w:rsidRPr="00565936">
        <w:rPr>
          <w:sz w:val="20"/>
        </w:rPr>
        <w:t>2.5.11. Execução de cabeamento estruturado, automação e lógica em edifícios.</w:t>
      </w:r>
    </w:p>
    <w:p w14:paraId="3DAFB620" w14:textId="77777777" w:rsidR="00566A57" w:rsidRPr="00565936" w:rsidRDefault="00566A57" w:rsidP="00EF2A5C">
      <w:pPr>
        <w:pStyle w:val="tex3"/>
        <w:spacing w:before="0" w:beforeAutospacing="0" w:after="0" w:afterAutospacing="0" w:line="360" w:lineRule="auto"/>
        <w:ind w:firstLine="1701"/>
        <w:jc w:val="both"/>
      </w:pPr>
    </w:p>
    <w:p w14:paraId="18EAC377" w14:textId="77777777" w:rsidR="00EF2A5C" w:rsidRPr="00565936" w:rsidRDefault="004B1BDE" w:rsidP="00EF2A5C">
      <w:pPr>
        <w:pStyle w:val="tex3"/>
        <w:spacing w:before="0" w:beforeAutospacing="0" w:after="0" w:afterAutospacing="0" w:line="360" w:lineRule="auto"/>
        <w:ind w:firstLine="1701"/>
        <w:jc w:val="both"/>
      </w:pPr>
      <w:r>
        <w:t>P</w:t>
      </w:r>
      <w:r w:rsidR="00EF2A5C" w:rsidRPr="00565936">
        <w:t>ela abrangência de instalações elétricas prediais de baixa tensão já estaria configurado a impossibilidade daquele profissional ser o responsável técnic</w:t>
      </w:r>
      <w:r>
        <w:t>o</w:t>
      </w:r>
      <w:r w:rsidR="00EF2A5C" w:rsidRPr="00565936">
        <w:t xml:space="preserve"> do objeto do Edital da Tomada de Preços </w:t>
      </w:r>
      <w:proofErr w:type="spellStart"/>
      <w:r w:rsidR="00EF2A5C" w:rsidRPr="00565936">
        <w:t>n.°</w:t>
      </w:r>
      <w:proofErr w:type="spellEnd"/>
      <w:r w:rsidR="00EF2A5C" w:rsidRPr="00565936">
        <w:t xml:space="preserve"> 02/2022. Ainda assim, vejamos a definição trazida pela Norma Regulamentadora – NR n.º 10:</w:t>
      </w:r>
    </w:p>
    <w:p w14:paraId="01597DE8" w14:textId="77777777" w:rsidR="00EF2A5C" w:rsidRPr="00565936" w:rsidRDefault="00EF2A5C" w:rsidP="00EF2A5C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  <w:szCs w:val="20"/>
        </w:rPr>
      </w:pPr>
      <w:r w:rsidRPr="00565936">
        <w:rPr>
          <w:sz w:val="20"/>
          <w:szCs w:val="20"/>
        </w:rPr>
        <w:t>1. Alta Tensão (AT): tensão superior a 1000 volts em corrente alternada ou 1500 volts em corrente contínua, entre fases ou entre fase e terra.</w:t>
      </w:r>
    </w:p>
    <w:p w14:paraId="613FE04E" w14:textId="77777777" w:rsidR="00EF2A5C" w:rsidRPr="00565936" w:rsidRDefault="00EF2A5C" w:rsidP="00EF2A5C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  <w:szCs w:val="20"/>
        </w:rPr>
      </w:pPr>
      <w:r w:rsidRPr="00565936">
        <w:rPr>
          <w:sz w:val="20"/>
          <w:szCs w:val="20"/>
        </w:rPr>
        <w:t>(...)</w:t>
      </w:r>
    </w:p>
    <w:p w14:paraId="6A8D04EC" w14:textId="77777777" w:rsidR="00EF2A5C" w:rsidRPr="00565936" w:rsidRDefault="00EF2A5C" w:rsidP="00EF2A5C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  <w:szCs w:val="20"/>
        </w:rPr>
      </w:pPr>
      <w:r w:rsidRPr="00565936">
        <w:rPr>
          <w:sz w:val="20"/>
          <w:szCs w:val="20"/>
        </w:rPr>
        <w:t>5. Baixa Tensão (BT): tensão superior a 50 volts em corrente alternada ou 120 volts em corrente contínua e igual ou inferior a 1000 volts em corrente alternada ou 1500 volts em corrente contínua, entre fases ou entre fase e terra.</w:t>
      </w:r>
    </w:p>
    <w:p w14:paraId="3F02CF51" w14:textId="77777777" w:rsidR="00EF2A5C" w:rsidRPr="00565936" w:rsidRDefault="00EF2A5C" w:rsidP="00EF2A5C">
      <w:pPr>
        <w:pStyle w:val="tex3"/>
        <w:spacing w:before="0" w:beforeAutospacing="0" w:after="0" w:afterAutospacing="0" w:line="360" w:lineRule="auto"/>
        <w:ind w:left="2835"/>
        <w:jc w:val="both"/>
      </w:pPr>
    </w:p>
    <w:p w14:paraId="69D81A62" w14:textId="77777777" w:rsidR="006179B7" w:rsidRPr="00565936" w:rsidRDefault="006179B7" w:rsidP="00EF2A5C">
      <w:pPr>
        <w:pStyle w:val="tex3"/>
        <w:spacing w:before="0" w:beforeAutospacing="0" w:after="0" w:afterAutospacing="0" w:line="360" w:lineRule="auto"/>
        <w:ind w:firstLine="1701"/>
        <w:jc w:val="both"/>
      </w:pPr>
      <w:r w:rsidRPr="00565936">
        <w:t xml:space="preserve">O projeto a ser executado </w:t>
      </w:r>
      <w:r w:rsidR="00EF2A5C" w:rsidRPr="00565936">
        <w:t xml:space="preserve">irá atender o núcleo industrial do Município de </w:t>
      </w:r>
      <w:proofErr w:type="spellStart"/>
      <w:r w:rsidR="00EF2A5C" w:rsidRPr="00565936">
        <w:t>Anaurilândia</w:t>
      </w:r>
      <w:proofErr w:type="spellEnd"/>
      <w:r w:rsidRPr="00565936">
        <w:t xml:space="preserve"> e se trata de rede de alta tensão, sendo assim a responsabilidade técnica </w:t>
      </w:r>
      <w:r w:rsidR="004B1BDE">
        <w:t xml:space="preserve">é </w:t>
      </w:r>
      <w:r w:rsidRPr="00565936">
        <w:t>de engenheiro eletricista, inscrito no CREA</w:t>
      </w:r>
      <w:r w:rsidR="00852783" w:rsidRPr="00565936">
        <w:t xml:space="preserve"> (resolução </w:t>
      </w:r>
      <w:proofErr w:type="spellStart"/>
      <w:r w:rsidR="00852783" w:rsidRPr="00565936">
        <w:t>n.°</w:t>
      </w:r>
      <w:proofErr w:type="spellEnd"/>
      <w:r w:rsidR="00852783" w:rsidRPr="00565936">
        <w:t xml:space="preserve"> 1010/2005 – CONFEA/CREA)</w:t>
      </w:r>
      <w:r w:rsidRPr="00565936">
        <w:t>.</w:t>
      </w:r>
    </w:p>
    <w:p w14:paraId="22791824" w14:textId="77777777" w:rsidR="00852783" w:rsidRPr="00565936" w:rsidRDefault="006179B7" w:rsidP="00EF2A5C">
      <w:pPr>
        <w:pStyle w:val="tex3"/>
        <w:spacing w:before="0" w:beforeAutospacing="0" w:after="0" w:afterAutospacing="0" w:line="360" w:lineRule="auto"/>
        <w:ind w:firstLine="1701"/>
        <w:jc w:val="both"/>
      </w:pPr>
      <w:r w:rsidRPr="00565936">
        <w:lastRenderedPageBreak/>
        <w:t xml:space="preserve">Assim, </w:t>
      </w:r>
      <w:r w:rsidR="00852783" w:rsidRPr="00565936">
        <w:t>o edital deve ser corrigido indicando:</w:t>
      </w:r>
    </w:p>
    <w:p w14:paraId="1A9FDE32" w14:textId="77777777" w:rsidR="00852783" w:rsidRPr="00565936" w:rsidRDefault="00852783" w:rsidP="00852783">
      <w:pPr>
        <w:pStyle w:val="tex3"/>
        <w:spacing w:before="0" w:beforeAutospacing="0" w:after="0" w:afterAutospacing="0" w:line="360" w:lineRule="auto"/>
        <w:ind w:left="2835"/>
        <w:jc w:val="both"/>
        <w:rPr>
          <w:rStyle w:val="markedcontent"/>
          <w:sz w:val="20"/>
          <w:szCs w:val="20"/>
        </w:rPr>
      </w:pPr>
      <w:r w:rsidRPr="00565936">
        <w:rPr>
          <w:rStyle w:val="markedcontent"/>
          <w:sz w:val="20"/>
          <w:szCs w:val="20"/>
        </w:rPr>
        <w:t>Prova de inscrição ou registro do licitante junto ao Conselho</w:t>
      </w:r>
      <w:r w:rsidRPr="00565936">
        <w:rPr>
          <w:sz w:val="20"/>
          <w:szCs w:val="20"/>
        </w:rPr>
        <w:br/>
      </w:r>
      <w:r w:rsidRPr="00565936">
        <w:rPr>
          <w:rStyle w:val="markedcontent"/>
          <w:sz w:val="20"/>
          <w:szCs w:val="20"/>
        </w:rPr>
        <w:t>Regional de Engenharia, que comprove atividade relacionada com o objeto do presente edital, em plena validade.</w:t>
      </w:r>
    </w:p>
    <w:p w14:paraId="021BD1B9" w14:textId="77777777" w:rsidR="00852783" w:rsidRPr="00565936" w:rsidRDefault="00852783" w:rsidP="0085278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  <w:szCs w:val="20"/>
        </w:rPr>
      </w:pPr>
    </w:p>
    <w:p w14:paraId="00496A79" w14:textId="77777777" w:rsidR="00852783" w:rsidRPr="00565936" w:rsidRDefault="00852783" w:rsidP="00852783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  <w:szCs w:val="20"/>
        </w:rPr>
      </w:pPr>
      <w:r w:rsidRPr="00565936">
        <w:rPr>
          <w:sz w:val="20"/>
          <w:szCs w:val="20"/>
        </w:rPr>
        <w:t>Comprovação da capacitação técnico-profissional: Comprovação de</w:t>
      </w:r>
      <w:r w:rsidRPr="00565936">
        <w:rPr>
          <w:sz w:val="20"/>
          <w:szCs w:val="20"/>
        </w:rPr>
        <w:br/>
        <w:t>que o licitante possui em seu corpo técnico, na data de abertura das propostas, profissional (</w:t>
      </w:r>
      <w:proofErr w:type="spellStart"/>
      <w:r w:rsidRPr="00565936">
        <w:rPr>
          <w:sz w:val="20"/>
          <w:szCs w:val="20"/>
        </w:rPr>
        <w:t>is</w:t>
      </w:r>
      <w:proofErr w:type="spellEnd"/>
      <w:r w:rsidRPr="00565936">
        <w:rPr>
          <w:sz w:val="20"/>
          <w:szCs w:val="20"/>
        </w:rPr>
        <w:t>) inscritos no Conselho Regional de Engenharia e Agronomia – CREA, detentor (es) de atestado(s) de responsabilidade técnica devidamente registrado(s) no CREA da região onde os serviços foram executados, acompanhados (s) da (s) respectiva (s) certidão (</w:t>
      </w:r>
      <w:proofErr w:type="spellStart"/>
      <w:r w:rsidRPr="00565936">
        <w:rPr>
          <w:sz w:val="20"/>
          <w:szCs w:val="20"/>
        </w:rPr>
        <w:t>ões</w:t>
      </w:r>
      <w:proofErr w:type="spellEnd"/>
      <w:r w:rsidRPr="00565936">
        <w:rPr>
          <w:sz w:val="20"/>
          <w:szCs w:val="20"/>
        </w:rPr>
        <w:t>) de Acervo Técnico – CAT, expedidas por este Conselho, que comprove ter o(s) profissional(</w:t>
      </w:r>
      <w:proofErr w:type="spellStart"/>
      <w:r w:rsidRPr="00565936">
        <w:rPr>
          <w:sz w:val="20"/>
          <w:szCs w:val="20"/>
        </w:rPr>
        <w:t>is</w:t>
      </w:r>
      <w:proofErr w:type="spellEnd"/>
      <w:r w:rsidRPr="00565936">
        <w:rPr>
          <w:sz w:val="20"/>
          <w:szCs w:val="20"/>
        </w:rPr>
        <w:t xml:space="preserve">), executado para órgão ou entidade da administração pública direta ou indireta, federal, estadual, municipal ou do Distrito Federal, ou ainda, para empresa privada, </w:t>
      </w:r>
      <w:r w:rsidR="00B06575" w:rsidRPr="00565936">
        <w:rPr>
          <w:sz w:val="20"/>
          <w:szCs w:val="20"/>
        </w:rPr>
        <w:t xml:space="preserve">objeto pertinente e compatível </w:t>
      </w:r>
      <w:r w:rsidR="00565936" w:rsidRPr="00565936">
        <w:rPr>
          <w:sz w:val="20"/>
          <w:szCs w:val="20"/>
        </w:rPr>
        <w:t xml:space="preserve">com os </w:t>
      </w:r>
      <w:r w:rsidRPr="00565936">
        <w:rPr>
          <w:sz w:val="20"/>
          <w:szCs w:val="20"/>
        </w:rPr>
        <w:t>serviços que compõem as parcelas de maior relevância técnica e valor significativo da contratação.</w:t>
      </w:r>
    </w:p>
    <w:p w14:paraId="1B864348" w14:textId="77777777" w:rsidR="00852783" w:rsidRPr="00565936" w:rsidRDefault="00852783" w:rsidP="00EF2A5C">
      <w:pPr>
        <w:pStyle w:val="tex3"/>
        <w:spacing w:before="0" w:beforeAutospacing="0" w:after="0" w:afterAutospacing="0" w:line="360" w:lineRule="auto"/>
        <w:ind w:firstLine="1701"/>
        <w:jc w:val="both"/>
      </w:pPr>
    </w:p>
    <w:p w14:paraId="08CFE8C9" w14:textId="77777777" w:rsidR="00B06575" w:rsidRPr="00565936" w:rsidRDefault="00852783" w:rsidP="00EF2A5C">
      <w:pPr>
        <w:pStyle w:val="tex3"/>
        <w:spacing w:before="0" w:beforeAutospacing="0" w:after="0" w:afterAutospacing="0" w:line="360" w:lineRule="auto"/>
        <w:ind w:firstLine="1701"/>
        <w:jc w:val="both"/>
      </w:pPr>
      <w:r w:rsidRPr="00565936">
        <w:rPr>
          <w:color w:val="000000"/>
        </w:rPr>
        <w:t xml:space="preserve">3. Em relação ao descontentamento da empresa </w:t>
      </w:r>
      <w:r w:rsidRPr="00565936">
        <w:rPr>
          <w:b/>
        </w:rPr>
        <w:t>SILVA &amp; AZAMBUJA LTDA</w:t>
      </w:r>
      <w:r w:rsidRPr="00565936">
        <w:t xml:space="preserve">., sobre os atestados se referirem a parcelas de maior relevância </w:t>
      </w:r>
      <w:r w:rsidR="00B06575" w:rsidRPr="00565936">
        <w:t>do objeto a ser contratado, entendemos que assiste razão parcial ao Impugnante.</w:t>
      </w:r>
    </w:p>
    <w:p w14:paraId="2B22231D" w14:textId="77777777" w:rsidR="00B06575" w:rsidRPr="00565936" w:rsidRDefault="00B06575" w:rsidP="00EF2A5C">
      <w:pPr>
        <w:pStyle w:val="tex3"/>
        <w:spacing w:before="0" w:beforeAutospacing="0" w:after="0" w:afterAutospacing="0" w:line="360" w:lineRule="auto"/>
        <w:ind w:firstLine="1701"/>
        <w:jc w:val="both"/>
      </w:pPr>
      <w:r w:rsidRPr="00565936">
        <w:t>A jurisprudência é uníssona em relação a possibilidade de se exigir atestado de capacidade técnica envolvendo as parcelas de maior relevância e valor significativo do objeto da licitação, contudo o que se discute no presente caso é a especificação do que se entende de parcela de maior relevância. Contudo, antes de adentrar nessa análise, deve ser observado que houve a indicação de um item, como parcela de maior relevância, indicando o nome de uma empresa que cotou o item (cotação de preços de mercado para formação do valor estimado), e esta indicação deve ser corrigida pela Administração.</w:t>
      </w:r>
    </w:p>
    <w:p w14:paraId="57A9DCEF" w14:textId="77777777" w:rsidR="00565936" w:rsidRDefault="00B06575" w:rsidP="00EF2A5C">
      <w:pPr>
        <w:pStyle w:val="tex3"/>
        <w:spacing w:before="0" w:beforeAutospacing="0" w:after="0" w:afterAutospacing="0" w:line="360" w:lineRule="auto"/>
        <w:ind w:firstLine="1701"/>
        <w:jc w:val="both"/>
      </w:pPr>
      <w:r w:rsidRPr="00565936">
        <w:t>A indicação da parcela de maior relevância deve indicar item da planilha de custos e formação de preços (planilha orçamentária), contudo ao analisar os documentos apresentados pela licitante, não se pode exigir que o item</w:t>
      </w:r>
      <w:r w:rsidR="00565936" w:rsidRPr="00565936">
        <w:t xml:space="preserve"> (do atestado)</w:t>
      </w:r>
      <w:r w:rsidRPr="00565936">
        <w:t xml:space="preserve"> seja idêntico</w:t>
      </w:r>
      <w:r w:rsidR="00565936" w:rsidRPr="00565936">
        <w:t xml:space="preserve"> ao</w:t>
      </w:r>
      <w:r w:rsidRPr="00565936">
        <w:t xml:space="preserve"> descrito na planilha</w:t>
      </w:r>
      <w:r w:rsidR="00565936" w:rsidRPr="00565936">
        <w:t xml:space="preserve"> orçamentária, bastando que seja pertinente e compatível, devendo, em relação ao quantitativo, não ultrapassar a 50% (cinquenta por cento) do quantitativo solicitado para o item na planilha orçamentária.</w:t>
      </w:r>
    </w:p>
    <w:p w14:paraId="2A8DAF04" w14:textId="77777777" w:rsidR="00565936" w:rsidRDefault="00565936" w:rsidP="00EF2A5C">
      <w:pPr>
        <w:pStyle w:val="tex3"/>
        <w:spacing w:before="0" w:beforeAutospacing="0" w:after="0" w:afterAutospacing="0" w:line="360" w:lineRule="auto"/>
        <w:ind w:firstLine="1701"/>
        <w:jc w:val="both"/>
      </w:pPr>
      <w:r>
        <w:t>Nesse sentido:</w:t>
      </w:r>
    </w:p>
    <w:p w14:paraId="187FFF67" w14:textId="77777777" w:rsidR="00565936" w:rsidRPr="008527DA" w:rsidRDefault="00565936" w:rsidP="008527DA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  <w:szCs w:val="20"/>
        </w:rPr>
      </w:pPr>
      <w:r w:rsidRPr="008527DA">
        <w:rPr>
          <w:sz w:val="20"/>
          <w:szCs w:val="20"/>
        </w:rPr>
        <w:lastRenderedPageBreak/>
        <w:t xml:space="preserve">Para fins de habilitação </w:t>
      </w:r>
      <w:r w:rsidRPr="008527DA">
        <w:rPr>
          <w:i/>
          <w:iCs/>
          <w:sz w:val="20"/>
          <w:szCs w:val="20"/>
        </w:rPr>
        <w:t>técnico</w:t>
      </w:r>
      <w:r w:rsidRPr="008527DA">
        <w:rPr>
          <w:sz w:val="20"/>
          <w:szCs w:val="20"/>
        </w:rPr>
        <w:t xml:space="preserve">-operacional em certames visando à contratação de obras e serviços de engenharia, devem ser exigidos </w:t>
      </w:r>
      <w:r w:rsidRPr="008527DA">
        <w:rPr>
          <w:i/>
          <w:iCs/>
          <w:sz w:val="20"/>
          <w:szCs w:val="20"/>
        </w:rPr>
        <w:t>atestados</w:t>
      </w:r>
      <w:r w:rsidRPr="008527DA">
        <w:rPr>
          <w:sz w:val="20"/>
          <w:szCs w:val="20"/>
        </w:rPr>
        <w:t xml:space="preserve"> emitidos em nome da licitante, podendo ser solicitadas as certidões de acervo </w:t>
      </w:r>
      <w:r w:rsidRPr="008527DA">
        <w:rPr>
          <w:i/>
          <w:iCs/>
          <w:sz w:val="20"/>
          <w:szCs w:val="20"/>
        </w:rPr>
        <w:t>técnico</w:t>
      </w:r>
      <w:r w:rsidRPr="008527DA">
        <w:rPr>
          <w:sz w:val="20"/>
          <w:szCs w:val="20"/>
        </w:rPr>
        <w:t xml:space="preserve"> (CAT) ou anotações/registros de responsabilidade </w:t>
      </w:r>
      <w:r w:rsidRPr="008527DA">
        <w:rPr>
          <w:i/>
          <w:iCs/>
          <w:sz w:val="20"/>
          <w:szCs w:val="20"/>
        </w:rPr>
        <w:t>técnica</w:t>
      </w:r>
      <w:r w:rsidRPr="008527DA">
        <w:rPr>
          <w:sz w:val="20"/>
          <w:szCs w:val="20"/>
        </w:rPr>
        <w:t xml:space="preserve"> (ART/RRT) emitidas pelo conselho de fiscalização profissional competente em nome dos profissionais vinculados aos referidos </w:t>
      </w:r>
      <w:r w:rsidRPr="008527DA">
        <w:rPr>
          <w:i/>
          <w:iCs/>
          <w:sz w:val="20"/>
          <w:szCs w:val="20"/>
        </w:rPr>
        <w:t>atestados,</w:t>
      </w:r>
      <w:r w:rsidRPr="008527DA">
        <w:rPr>
          <w:sz w:val="20"/>
          <w:szCs w:val="20"/>
        </w:rPr>
        <w:t xml:space="preserve"> como forma de conferir autenticidade e veracidade às informações constantes nos documentos emitidos em nome das licitantes.</w:t>
      </w:r>
      <w:r w:rsidR="008527DA" w:rsidRPr="008527DA">
        <w:rPr>
          <w:sz w:val="20"/>
          <w:szCs w:val="20"/>
        </w:rPr>
        <w:t xml:space="preserve"> (TCU. </w:t>
      </w:r>
      <w:r w:rsidRPr="008527DA">
        <w:rPr>
          <w:sz w:val="20"/>
          <w:szCs w:val="20"/>
        </w:rPr>
        <w:t>Acórdão 2326/2019-Plenário | Relator: BENJAMIN ZYMLER</w:t>
      </w:r>
      <w:r w:rsidR="008527DA" w:rsidRPr="008527DA">
        <w:rPr>
          <w:sz w:val="20"/>
          <w:szCs w:val="20"/>
        </w:rPr>
        <w:t>).</w:t>
      </w:r>
    </w:p>
    <w:p w14:paraId="0175C8D2" w14:textId="77777777" w:rsidR="008527DA" w:rsidRPr="008527DA" w:rsidRDefault="008527DA" w:rsidP="008527DA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  <w:szCs w:val="20"/>
        </w:rPr>
      </w:pPr>
    </w:p>
    <w:p w14:paraId="1EA5CED2" w14:textId="77777777" w:rsidR="008527DA" w:rsidRPr="008527DA" w:rsidRDefault="008527DA" w:rsidP="008527DA">
      <w:pPr>
        <w:pStyle w:val="tex3"/>
        <w:spacing w:before="0" w:beforeAutospacing="0" w:after="0" w:afterAutospacing="0" w:line="360" w:lineRule="auto"/>
        <w:ind w:left="2835"/>
        <w:jc w:val="both"/>
        <w:rPr>
          <w:sz w:val="20"/>
          <w:szCs w:val="20"/>
        </w:rPr>
      </w:pPr>
      <w:r w:rsidRPr="008527DA">
        <w:rPr>
          <w:sz w:val="20"/>
          <w:szCs w:val="20"/>
        </w:rPr>
        <w:t xml:space="preserve">É irregular a exigência de </w:t>
      </w:r>
      <w:r w:rsidRPr="008527DA">
        <w:rPr>
          <w:i/>
          <w:iCs/>
          <w:sz w:val="20"/>
          <w:szCs w:val="20"/>
        </w:rPr>
        <w:t>atestado</w:t>
      </w:r>
      <w:r w:rsidRPr="008527DA">
        <w:rPr>
          <w:sz w:val="20"/>
          <w:szCs w:val="20"/>
        </w:rPr>
        <w:t xml:space="preserve"> de </w:t>
      </w:r>
      <w:r w:rsidRPr="008527DA">
        <w:rPr>
          <w:i/>
          <w:iCs/>
          <w:sz w:val="20"/>
          <w:szCs w:val="20"/>
        </w:rPr>
        <w:t>capacidade</w:t>
      </w:r>
      <w:r w:rsidRPr="008527DA">
        <w:rPr>
          <w:sz w:val="20"/>
          <w:szCs w:val="20"/>
        </w:rPr>
        <w:t xml:space="preserve"> </w:t>
      </w:r>
      <w:r w:rsidRPr="008527DA">
        <w:rPr>
          <w:i/>
          <w:iCs/>
          <w:sz w:val="20"/>
          <w:szCs w:val="20"/>
        </w:rPr>
        <w:t>técnico</w:t>
      </w:r>
      <w:r w:rsidRPr="008527DA">
        <w:rPr>
          <w:sz w:val="20"/>
          <w:szCs w:val="20"/>
        </w:rPr>
        <w:t xml:space="preserve">-operacional com quantitativo mínimo superior a 50% do quantitativo de bens e serviços que se pretende contratar, a não ser que a especificidade do objeto o recomende, situação em que os motivos de fato e de direito deverão estar devidamente explicitados no processo licitatório. (TCU. Acórdão 2924/2019-Plenário | Relator: BENJAMIN ZYMLER). </w:t>
      </w:r>
    </w:p>
    <w:p w14:paraId="59FC2069" w14:textId="77777777" w:rsidR="008527DA" w:rsidRDefault="008527DA" w:rsidP="00EF2A5C">
      <w:pPr>
        <w:pStyle w:val="tex3"/>
        <w:spacing w:before="0" w:beforeAutospacing="0" w:after="0" w:afterAutospacing="0" w:line="360" w:lineRule="auto"/>
        <w:ind w:firstLine="1701"/>
        <w:jc w:val="both"/>
      </w:pPr>
    </w:p>
    <w:p w14:paraId="3874447C" w14:textId="77777777" w:rsidR="00453235" w:rsidRDefault="008527DA" w:rsidP="008527DA">
      <w:pPr>
        <w:pStyle w:val="tex3"/>
        <w:spacing w:before="0" w:beforeAutospacing="0" w:after="0" w:afterAutospacing="0" w:line="360" w:lineRule="auto"/>
        <w:ind w:firstLine="1701"/>
        <w:jc w:val="both"/>
        <w:rPr>
          <w:rStyle w:val="markedcontent"/>
        </w:rPr>
      </w:pPr>
      <w:r>
        <w:rPr>
          <w:rStyle w:val="markedcontent"/>
        </w:rPr>
        <w:t>4. De acordo com o item 20.7 do Edital, q</w:t>
      </w:r>
      <w:r w:rsidR="00453235" w:rsidRPr="00565936">
        <w:rPr>
          <w:rStyle w:val="markedcontent"/>
        </w:rPr>
        <w:t>ualquer modificação no instrumento convocatório exige divulgação pelo</w:t>
      </w:r>
      <w:r w:rsidR="00453235" w:rsidRPr="00565936">
        <w:br/>
      </w:r>
      <w:r w:rsidR="00453235" w:rsidRPr="00565936">
        <w:rPr>
          <w:rStyle w:val="markedcontent"/>
        </w:rPr>
        <w:t>mesmo instrumento de publicação em que se deu o texto original, reabrindo-se</w:t>
      </w:r>
      <w:r w:rsidR="00453235" w:rsidRPr="00565936">
        <w:br/>
      </w:r>
      <w:r w:rsidR="00453235" w:rsidRPr="00565936">
        <w:rPr>
          <w:rStyle w:val="markedcontent"/>
        </w:rPr>
        <w:t>o prazo inicialmente estabelecido, exceto quando, inquestionavelmente, a</w:t>
      </w:r>
      <w:r w:rsidR="00453235" w:rsidRPr="00565936">
        <w:br/>
      </w:r>
      <w:r w:rsidR="00453235" w:rsidRPr="00565936">
        <w:rPr>
          <w:rStyle w:val="highlight"/>
        </w:rPr>
        <w:t>alter</w:t>
      </w:r>
      <w:r w:rsidR="00453235" w:rsidRPr="00565936">
        <w:rPr>
          <w:rStyle w:val="markedcontent"/>
        </w:rPr>
        <w:t>ação não afetar a formulação das propostas</w:t>
      </w:r>
      <w:r>
        <w:rPr>
          <w:rStyle w:val="markedcontent"/>
        </w:rPr>
        <w:t xml:space="preserve">. </w:t>
      </w:r>
    </w:p>
    <w:p w14:paraId="5F740D3B" w14:textId="77777777" w:rsidR="008527DA" w:rsidRDefault="008527DA" w:rsidP="008527DA">
      <w:pPr>
        <w:pStyle w:val="tex3"/>
        <w:spacing w:before="0" w:beforeAutospacing="0" w:after="0" w:afterAutospacing="0" w:line="360" w:lineRule="auto"/>
        <w:ind w:firstLine="1701"/>
        <w:jc w:val="both"/>
        <w:rPr>
          <w:rStyle w:val="markedcontent"/>
        </w:rPr>
      </w:pPr>
      <w:r>
        <w:rPr>
          <w:rStyle w:val="markedcontent"/>
        </w:rPr>
        <w:t xml:space="preserve">A previsão do instrumento convocatório guarda compatibilidade com o art. 21, §4º da Lei Federal </w:t>
      </w:r>
      <w:proofErr w:type="spellStart"/>
      <w:r>
        <w:rPr>
          <w:rStyle w:val="markedcontent"/>
        </w:rPr>
        <w:t>n.°</w:t>
      </w:r>
      <w:proofErr w:type="spellEnd"/>
      <w:r>
        <w:rPr>
          <w:rStyle w:val="markedcontent"/>
        </w:rPr>
        <w:t xml:space="preserve"> 8.666/1993, veja:</w:t>
      </w:r>
    </w:p>
    <w:p w14:paraId="022C7584" w14:textId="77777777" w:rsidR="008527DA" w:rsidRPr="008527DA" w:rsidRDefault="008527DA" w:rsidP="008527DA">
      <w:pPr>
        <w:pStyle w:val="tex3"/>
        <w:spacing w:before="0" w:beforeAutospacing="0" w:after="0" w:afterAutospacing="0" w:line="360" w:lineRule="auto"/>
        <w:ind w:left="2835"/>
        <w:jc w:val="both"/>
        <w:rPr>
          <w:color w:val="000000"/>
          <w:sz w:val="20"/>
          <w:szCs w:val="20"/>
        </w:rPr>
      </w:pPr>
      <w:r w:rsidRPr="008527DA">
        <w:rPr>
          <w:color w:val="000000"/>
          <w:sz w:val="20"/>
          <w:szCs w:val="20"/>
        </w:rPr>
        <w:t>§ 4</w:t>
      </w:r>
      <w:r w:rsidRPr="008527DA">
        <w:rPr>
          <w:color w:val="000000"/>
          <w:sz w:val="20"/>
          <w:szCs w:val="20"/>
          <w:u w:val="single"/>
          <w:vertAlign w:val="superscript"/>
        </w:rPr>
        <w:t>o</w:t>
      </w:r>
      <w:r w:rsidRPr="008527DA">
        <w:rPr>
          <w:color w:val="000000"/>
          <w:sz w:val="20"/>
          <w:szCs w:val="20"/>
        </w:rPr>
        <w:t xml:space="preserve">  Qualquer modificação no edital exige divulgação pela mesma forma que se deu o texto original, reabrindo-se o prazo inicialmente estabelecido, exceto quando, </w:t>
      </w:r>
      <w:proofErr w:type="spellStart"/>
      <w:r w:rsidRPr="008527DA">
        <w:rPr>
          <w:color w:val="000000"/>
          <w:sz w:val="20"/>
          <w:szCs w:val="20"/>
        </w:rPr>
        <w:t>inqüestionavelmente</w:t>
      </w:r>
      <w:proofErr w:type="spellEnd"/>
      <w:r w:rsidRPr="008527DA">
        <w:rPr>
          <w:color w:val="000000"/>
          <w:sz w:val="20"/>
          <w:szCs w:val="20"/>
        </w:rPr>
        <w:t>, a alteração não afetar a formulação das propostas.</w:t>
      </w:r>
    </w:p>
    <w:p w14:paraId="7EA4FDB3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1AA5B770" w14:textId="77777777" w:rsidR="00453235" w:rsidRPr="00565936" w:rsidRDefault="008527DA" w:rsidP="008527DA">
      <w:pPr>
        <w:pStyle w:val="tex3"/>
        <w:spacing w:before="0" w:beforeAutospacing="0" w:after="0" w:afterAutospacing="0" w:line="360" w:lineRule="auto"/>
        <w:ind w:firstLine="1701"/>
        <w:jc w:val="both"/>
        <w:rPr>
          <w:color w:val="000000"/>
        </w:rPr>
      </w:pPr>
      <w:r>
        <w:rPr>
          <w:color w:val="000000"/>
        </w:rPr>
        <w:t xml:space="preserve">Assim, tendo em vista </w:t>
      </w:r>
      <w:r w:rsidR="004B1BDE">
        <w:rPr>
          <w:color w:val="000000"/>
        </w:rPr>
        <w:t>às alterações que serão necessárias para ajustar o edital à norma</w:t>
      </w:r>
      <w:r>
        <w:rPr>
          <w:color w:val="000000"/>
        </w:rPr>
        <w:t xml:space="preserve"> vigente, deve o edital ser republicado e reaberto o prazo para apresentação de propostas.</w:t>
      </w:r>
    </w:p>
    <w:p w14:paraId="627B1462" w14:textId="77777777" w:rsidR="00453235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26C9E57F" w14:textId="77777777" w:rsidR="004B1BDE" w:rsidRPr="00565936" w:rsidRDefault="004B1BDE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2A75F036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jc w:val="both"/>
        <w:rPr>
          <w:b/>
          <w:color w:val="000000"/>
          <w:u w:val="single"/>
        </w:rPr>
      </w:pPr>
      <w:r w:rsidRPr="00565936">
        <w:rPr>
          <w:b/>
          <w:color w:val="000000"/>
          <w:u w:val="single"/>
        </w:rPr>
        <w:t xml:space="preserve">CONCLUSÃO </w:t>
      </w:r>
    </w:p>
    <w:p w14:paraId="098D0E81" w14:textId="77777777" w:rsidR="003F3CCF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5936">
        <w:rPr>
          <w:color w:val="000000"/>
        </w:rPr>
        <w:lastRenderedPageBreak/>
        <w:t xml:space="preserve">Diante do exposto, recebemos o pedido de impugnação da empresa </w:t>
      </w:r>
      <w:r w:rsidR="008527DA" w:rsidRPr="008527DA">
        <w:rPr>
          <w:b/>
          <w:color w:val="000000"/>
        </w:rPr>
        <w:t>SILVA</w:t>
      </w:r>
      <w:r w:rsidR="008527DA">
        <w:rPr>
          <w:color w:val="000000"/>
        </w:rPr>
        <w:t xml:space="preserve"> </w:t>
      </w:r>
      <w:r w:rsidRPr="00565936">
        <w:rPr>
          <w:b/>
        </w:rPr>
        <w:t xml:space="preserve">&amp; </w:t>
      </w:r>
      <w:r w:rsidR="008527DA">
        <w:rPr>
          <w:b/>
        </w:rPr>
        <w:t xml:space="preserve">AZAMBUJA </w:t>
      </w:r>
      <w:r w:rsidRPr="00565936">
        <w:rPr>
          <w:b/>
        </w:rPr>
        <w:t>LTDA.</w:t>
      </w:r>
      <w:r w:rsidRPr="00565936">
        <w:rPr>
          <w:color w:val="000000"/>
        </w:rPr>
        <w:t>,</w:t>
      </w:r>
      <w:r w:rsidRPr="00565936">
        <w:rPr>
          <w:rFonts w:eastAsiaTheme="minorHAnsi"/>
          <w:lang w:eastAsia="en-US"/>
        </w:rPr>
        <w:t xml:space="preserve"> CNPJ </w:t>
      </w:r>
      <w:proofErr w:type="spellStart"/>
      <w:r w:rsidRPr="00565936">
        <w:rPr>
          <w:rFonts w:eastAsiaTheme="minorHAnsi"/>
          <w:lang w:eastAsia="en-US"/>
        </w:rPr>
        <w:t>n.°</w:t>
      </w:r>
      <w:proofErr w:type="spellEnd"/>
      <w:r w:rsidRPr="00565936">
        <w:rPr>
          <w:rFonts w:eastAsiaTheme="minorHAnsi"/>
          <w:lang w:eastAsia="en-US"/>
        </w:rPr>
        <w:t xml:space="preserve"> </w:t>
      </w:r>
      <w:r w:rsidR="008527DA">
        <w:rPr>
          <w:rFonts w:eastAsiaTheme="minorHAnsi"/>
          <w:lang w:eastAsia="en-US"/>
        </w:rPr>
        <w:t>03.285.860/0001-07</w:t>
      </w:r>
      <w:r w:rsidRPr="00565936">
        <w:rPr>
          <w:color w:val="000000"/>
        </w:rPr>
        <w:t xml:space="preserve">, e no </w:t>
      </w:r>
      <w:r w:rsidRPr="00565936">
        <w:rPr>
          <w:b/>
          <w:color w:val="000000"/>
        </w:rPr>
        <w:t xml:space="preserve">MÉRITO </w:t>
      </w:r>
      <w:r w:rsidRPr="00565936">
        <w:rPr>
          <w:color w:val="000000"/>
        </w:rPr>
        <w:t>damos</w:t>
      </w:r>
      <w:r w:rsidRPr="00565936">
        <w:rPr>
          <w:b/>
          <w:color w:val="000000"/>
        </w:rPr>
        <w:t xml:space="preserve"> </w:t>
      </w:r>
      <w:r w:rsidR="008527DA">
        <w:rPr>
          <w:b/>
          <w:color w:val="000000"/>
        </w:rPr>
        <w:t xml:space="preserve">PARCIAL PROVIMENTO </w:t>
      </w:r>
      <w:r w:rsidRPr="00565936">
        <w:rPr>
          <w:color w:val="000000"/>
        </w:rPr>
        <w:t xml:space="preserve">a impugnação, devendo o edital ser corrigido para retirada </w:t>
      </w:r>
      <w:r w:rsidR="008527DA">
        <w:rPr>
          <w:color w:val="000000"/>
        </w:rPr>
        <w:t>d</w:t>
      </w:r>
      <w:r w:rsidRPr="00565936">
        <w:rPr>
          <w:color w:val="000000"/>
        </w:rPr>
        <w:t>a</w:t>
      </w:r>
      <w:r w:rsidR="008527DA">
        <w:rPr>
          <w:color w:val="000000"/>
        </w:rPr>
        <w:t>s</w:t>
      </w:r>
      <w:r w:rsidRPr="00565936">
        <w:rPr>
          <w:color w:val="000000"/>
        </w:rPr>
        <w:t xml:space="preserve"> exigência</w:t>
      </w:r>
      <w:r w:rsidR="008527DA">
        <w:rPr>
          <w:color w:val="000000"/>
        </w:rPr>
        <w:t xml:space="preserve">s, conforme exposto </w:t>
      </w:r>
      <w:r w:rsidR="003F3CCF">
        <w:rPr>
          <w:color w:val="000000"/>
        </w:rPr>
        <w:t>e fundamentado acima.</w:t>
      </w:r>
    </w:p>
    <w:p w14:paraId="037217E6" w14:textId="77777777" w:rsidR="00453235" w:rsidRPr="00565936" w:rsidRDefault="003F3CCF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5936">
        <w:rPr>
          <w:color w:val="000000"/>
        </w:rPr>
        <w:t xml:space="preserve"> </w:t>
      </w:r>
    </w:p>
    <w:p w14:paraId="4B0B8C66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65936">
        <w:rPr>
          <w:color w:val="000000"/>
        </w:rPr>
        <w:t>É o Parecer.</w:t>
      </w:r>
    </w:p>
    <w:p w14:paraId="15160797" w14:textId="77777777" w:rsidR="00453235" w:rsidRPr="00565936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092DD9DD" w14:textId="4C3A1834" w:rsidR="00453235" w:rsidRDefault="00453235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spellStart"/>
      <w:r w:rsidRPr="00565936">
        <w:rPr>
          <w:color w:val="000000"/>
        </w:rPr>
        <w:t>Anaurilândia</w:t>
      </w:r>
      <w:proofErr w:type="spellEnd"/>
      <w:r w:rsidRPr="00565936">
        <w:rPr>
          <w:color w:val="000000"/>
        </w:rPr>
        <w:t xml:space="preserve"> – MS, </w:t>
      </w:r>
      <w:r w:rsidR="003F3CCF">
        <w:rPr>
          <w:color w:val="000000"/>
        </w:rPr>
        <w:t xml:space="preserve">07 março </w:t>
      </w:r>
      <w:r w:rsidR="00512CB4">
        <w:rPr>
          <w:color w:val="000000"/>
        </w:rPr>
        <w:t>de 2022</w:t>
      </w:r>
      <w:r w:rsidRPr="00565936">
        <w:rPr>
          <w:color w:val="000000"/>
        </w:rPr>
        <w:t>.</w:t>
      </w:r>
    </w:p>
    <w:p w14:paraId="6BBF4DBE" w14:textId="45D69813" w:rsidR="002629F7" w:rsidRDefault="002629F7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5494F156" w14:textId="77777777" w:rsidR="002629F7" w:rsidRDefault="002629F7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660CB0B7" w14:textId="0FE43A72" w:rsidR="002629F7" w:rsidRDefault="002629F7" w:rsidP="00453235">
      <w:pPr>
        <w:pStyle w:val="tex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41A2D259" w14:textId="0BDBAC8B" w:rsidR="002629F7" w:rsidRDefault="002629F7" w:rsidP="002629F7">
      <w:pPr>
        <w:pStyle w:val="tex3"/>
        <w:spacing w:before="0" w:beforeAutospacing="0" w:after="0" w:afterAutospacing="0" w:line="360" w:lineRule="auto"/>
        <w:ind w:firstLine="708"/>
        <w:jc w:val="center"/>
        <w:rPr>
          <w:color w:val="000000"/>
        </w:rPr>
      </w:pPr>
      <w:r>
        <w:rPr>
          <w:color w:val="000000"/>
        </w:rPr>
        <w:t>José Fonseca Neto</w:t>
      </w:r>
    </w:p>
    <w:p w14:paraId="0577155C" w14:textId="727A180B" w:rsidR="002629F7" w:rsidRPr="00565936" w:rsidRDefault="002629F7" w:rsidP="002629F7">
      <w:pPr>
        <w:pStyle w:val="tex3"/>
        <w:spacing w:before="0" w:beforeAutospacing="0" w:after="0" w:afterAutospacing="0" w:line="360" w:lineRule="auto"/>
        <w:ind w:firstLine="708"/>
        <w:jc w:val="center"/>
        <w:rPr>
          <w:color w:val="000000"/>
        </w:rPr>
      </w:pPr>
      <w:r>
        <w:rPr>
          <w:color w:val="000000"/>
        </w:rPr>
        <w:t>Presidente da Comissão de Licitação</w:t>
      </w:r>
    </w:p>
    <w:p w14:paraId="3F0BBAFE" w14:textId="77777777" w:rsidR="00FB7976" w:rsidRPr="00565936" w:rsidRDefault="00FB7976">
      <w:pPr>
        <w:rPr>
          <w:rFonts w:ascii="Times New Roman" w:hAnsi="Times New Roman" w:cs="Times New Roman"/>
        </w:rPr>
      </w:pPr>
    </w:p>
    <w:sectPr w:rsidR="00FB7976" w:rsidRPr="00565936" w:rsidSect="0001367D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BF07" w14:textId="77777777" w:rsidR="00EB02C4" w:rsidRDefault="00EB02C4" w:rsidP="006F575C">
      <w:pPr>
        <w:spacing w:line="240" w:lineRule="auto"/>
      </w:pPr>
      <w:r>
        <w:separator/>
      </w:r>
    </w:p>
  </w:endnote>
  <w:endnote w:type="continuationSeparator" w:id="0">
    <w:p w14:paraId="79231D17" w14:textId="77777777" w:rsidR="00EB02C4" w:rsidRDefault="00EB02C4" w:rsidP="006F5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10D3" w14:textId="24AA909A" w:rsidR="0001367D" w:rsidRDefault="0001367D">
    <w:pPr>
      <w:pStyle w:val="Rodap"/>
    </w:pPr>
    <w:r>
      <w:rPr>
        <w:noProof/>
      </w:rPr>
      <w:drawing>
        <wp:inline distT="0" distB="0" distL="0" distR="0" wp14:anchorId="3E7A18EC" wp14:editId="6D1AD951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CE16" w14:textId="77777777" w:rsidR="00EB02C4" w:rsidRDefault="00EB02C4" w:rsidP="006F575C">
      <w:pPr>
        <w:spacing w:line="240" w:lineRule="auto"/>
      </w:pPr>
      <w:r>
        <w:separator/>
      </w:r>
    </w:p>
  </w:footnote>
  <w:footnote w:type="continuationSeparator" w:id="0">
    <w:p w14:paraId="0FCA8AD1" w14:textId="77777777" w:rsidR="00EB02C4" w:rsidRDefault="00EB02C4" w:rsidP="006F575C">
      <w:pPr>
        <w:spacing w:line="240" w:lineRule="auto"/>
      </w:pPr>
      <w:r>
        <w:continuationSeparator/>
      </w:r>
    </w:p>
  </w:footnote>
  <w:footnote w:id="1">
    <w:p w14:paraId="721B6290" w14:textId="77777777" w:rsidR="006F575C" w:rsidRDefault="006F575C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1" w:history="1">
        <w:r w:rsidRPr="00BA2BD8">
          <w:rPr>
            <w:rStyle w:val="Hyperlink"/>
          </w:rPr>
          <w:t>https://www.neoenergiaelektro.com.br/prestadores-de-servico/empresas-credenciadas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C2FE" w14:textId="77777777" w:rsidR="0001367D" w:rsidRPr="0001367D" w:rsidRDefault="0001367D" w:rsidP="0001367D">
    <w:pPr>
      <w:shd w:val="clear" w:color="auto" w:fill="305598"/>
      <w:tabs>
        <w:tab w:val="center" w:pos="4419"/>
        <w:tab w:val="right" w:pos="8838"/>
      </w:tabs>
      <w:spacing w:line="240" w:lineRule="auto"/>
      <w:jc w:val="center"/>
      <w:rPr>
        <w:rFonts w:ascii="Times New Roman" w:eastAsia="Times New Roman" w:hAnsi="Times New Roman" w:cs="Times New Roman"/>
        <w:i/>
        <w:szCs w:val="20"/>
        <w:lang w:eastAsia="pt-BR"/>
      </w:rPr>
    </w:pPr>
    <w:r w:rsidRPr="0001367D">
      <w:rPr>
        <w:rFonts w:ascii="Times New Roman" w:eastAsia="Times New Roman" w:hAnsi="Times New Roman" w:cs="Times New Roman"/>
        <w:i/>
        <w:noProof/>
        <w:szCs w:val="20"/>
        <w:lang w:eastAsia="pt-BR"/>
      </w:rPr>
      <w:drawing>
        <wp:inline distT="0" distB="0" distL="0" distR="0" wp14:anchorId="11BD4F83" wp14:editId="26A001C6">
          <wp:extent cx="2579370" cy="7416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0E373" w14:textId="77777777" w:rsidR="0001367D" w:rsidRDefault="000136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37D9B"/>
    <w:multiLevelType w:val="multilevel"/>
    <w:tmpl w:val="0AFA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F676B"/>
    <w:multiLevelType w:val="multilevel"/>
    <w:tmpl w:val="A1A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42"/>
    <w:rsid w:val="0001367D"/>
    <w:rsid w:val="000925C1"/>
    <w:rsid w:val="002620C3"/>
    <w:rsid w:val="002629F7"/>
    <w:rsid w:val="00334A61"/>
    <w:rsid w:val="003A3B42"/>
    <w:rsid w:val="003F3CCF"/>
    <w:rsid w:val="00453235"/>
    <w:rsid w:val="004B1BDE"/>
    <w:rsid w:val="004D3CC0"/>
    <w:rsid w:val="00512CB4"/>
    <w:rsid w:val="00556A0B"/>
    <w:rsid w:val="00565936"/>
    <w:rsid w:val="00566A57"/>
    <w:rsid w:val="006179B7"/>
    <w:rsid w:val="006D6380"/>
    <w:rsid w:val="006F575C"/>
    <w:rsid w:val="00852783"/>
    <w:rsid w:val="008527DA"/>
    <w:rsid w:val="00A922F0"/>
    <w:rsid w:val="00A93BED"/>
    <w:rsid w:val="00B06575"/>
    <w:rsid w:val="00B278BA"/>
    <w:rsid w:val="00C44F99"/>
    <w:rsid w:val="00C80932"/>
    <w:rsid w:val="00D0601D"/>
    <w:rsid w:val="00D87C9E"/>
    <w:rsid w:val="00E81963"/>
    <w:rsid w:val="00E824BE"/>
    <w:rsid w:val="00EB02C4"/>
    <w:rsid w:val="00EF2A5C"/>
    <w:rsid w:val="00EF698B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6426"/>
  <w15:docId w15:val="{1D95C7AD-52EB-4310-80B8-8E15080E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235"/>
    <w:pPr>
      <w:ind w:firstLine="0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3">
    <w:name w:val="tex3"/>
    <w:basedOn w:val="Normal"/>
    <w:rsid w:val="004532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53235"/>
    <w:rPr>
      <w:color w:val="0000FF" w:themeColor="hyperlink"/>
      <w:u w:val="single"/>
    </w:rPr>
  </w:style>
  <w:style w:type="character" w:customStyle="1" w:styleId="markedcontent">
    <w:name w:val="markedcontent"/>
    <w:basedOn w:val="Fontepargpadro"/>
    <w:rsid w:val="00453235"/>
  </w:style>
  <w:style w:type="character" w:customStyle="1" w:styleId="highlight">
    <w:name w:val="highlight"/>
    <w:basedOn w:val="Fontepargpadro"/>
    <w:rsid w:val="00453235"/>
  </w:style>
  <w:style w:type="paragraph" w:styleId="Textodebalo">
    <w:name w:val="Balloon Text"/>
    <w:basedOn w:val="Normal"/>
    <w:link w:val="TextodebaloChar"/>
    <w:uiPriority w:val="99"/>
    <w:semiHidden/>
    <w:unhideWhenUsed/>
    <w:rsid w:val="006F57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7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575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575C"/>
    <w:rPr>
      <w:rFonts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F575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136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67D"/>
    <w:rPr>
      <w:rFonts w:cs="Arial"/>
      <w:szCs w:val="24"/>
    </w:rPr>
  </w:style>
  <w:style w:type="paragraph" w:styleId="Rodap">
    <w:name w:val="footer"/>
    <w:basedOn w:val="Normal"/>
    <w:link w:val="RodapChar"/>
    <w:uiPriority w:val="99"/>
    <w:unhideWhenUsed/>
    <w:rsid w:val="000136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67D"/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oenergiaelektro.com.br/prestadores-de-servico/empresas-credenciad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50F9-2579-4980-91D2-77A2382A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1699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admlocal</cp:lastModifiedBy>
  <cp:revision>9</cp:revision>
  <cp:lastPrinted>2022-03-08T11:45:00Z</cp:lastPrinted>
  <dcterms:created xsi:type="dcterms:W3CDTF">2022-03-08T11:19:00Z</dcterms:created>
  <dcterms:modified xsi:type="dcterms:W3CDTF">2022-03-08T11:51:00Z</dcterms:modified>
</cp:coreProperties>
</file>